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eastAsiaTheme="minorHAnsi"/>
          <w:b/>
          <w:bCs/>
          <w:sz w:val="24"/>
          <w:szCs w:val="24"/>
        </w:rPr>
        <w:t>Supplementary Table 1.</w:t>
      </w:r>
      <w:r>
        <w:rPr>
          <w:rFonts w:asciiTheme="minorHAnsi" w:hAnsiTheme="minorHAnsi" w:eastAsiaTheme="minorHAnsi"/>
          <w:sz w:val="24"/>
          <w:szCs w:val="24"/>
        </w:rPr>
        <w:t xml:space="preserve"> The different clinical characteristics between pathological response after NAC</w:t>
      </w:r>
    </w:p>
    <w:tbl>
      <w:tblPr>
        <w:tblStyle w:val="5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1"/>
        <w:gridCol w:w="2136"/>
        <w:gridCol w:w="2144"/>
        <w:gridCol w:w="101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96" w:type="pct"/>
            <w:tcBorders>
              <w:bottom w:val="single" w:color="auto" w:sz="8" w:space="0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Characteristics</w:t>
            </w:r>
          </w:p>
        </w:tc>
        <w:tc>
          <w:tcPr>
            <w:tcW w:w="1253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pCR(N=144)</w:t>
            </w:r>
          </w:p>
        </w:tc>
        <w:tc>
          <w:tcPr>
            <w:tcW w:w="1258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Non-pCR(N=126)</w:t>
            </w:r>
          </w:p>
        </w:tc>
        <w:tc>
          <w:tcPr>
            <w:tcW w:w="593" w:type="pct"/>
            <w:tcBorders>
              <w:bottom w:val="single" w:color="auto" w:sz="8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 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Median age, years (range)</w:t>
            </w:r>
          </w:p>
        </w:tc>
        <w:tc>
          <w:tcPr>
            <w:tcW w:w="125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51（27-67）</w:t>
            </w:r>
          </w:p>
        </w:tc>
        <w:tc>
          <w:tcPr>
            <w:tcW w:w="1258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50（25-71）</w:t>
            </w:r>
          </w:p>
        </w:tc>
        <w:tc>
          <w:tcPr>
            <w:tcW w:w="59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0.932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Menopausal status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Pre-menopause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Post-menopause</w:t>
            </w:r>
          </w:p>
        </w:tc>
        <w:tc>
          <w:tcPr>
            <w:tcW w:w="1253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（4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（59.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258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（44.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（55.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593" w:type="pct"/>
            <w:tcBorders>
              <w:top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157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  <w:highlight w:val="none"/>
              </w:rPr>
            </w:pPr>
            <w:r>
              <w:rPr>
                <w:rFonts w:hint="eastAsia"/>
                <w:kern w:val="0"/>
                <w:sz w:val="20"/>
                <w:highlight w:val="none"/>
              </w:rPr>
              <w:t>Hormone receptor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Positive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(ER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and/or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PR+)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Negative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(ER and PR-)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60</w:t>
            </w:r>
            <w:r>
              <w:rPr>
                <w:rFonts w:hint="eastAsia"/>
                <w:kern w:val="0"/>
                <w:sz w:val="20"/>
              </w:rPr>
              <w:t>（4</w:t>
            </w:r>
            <w:r>
              <w:rPr>
                <w:kern w:val="0"/>
                <w:sz w:val="20"/>
              </w:rPr>
              <w:t>1.7%</w:t>
            </w:r>
            <w:r>
              <w:rPr>
                <w:rFonts w:hint="eastAsia"/>
                <w:kern w:val="0"/>
                <w:sz w:val="20"/>
              </w:rPr>
              <w:t>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（5</w:t>
            </w:r>
            <w:r>
              <w:rPr>
                <w:kern w:val="0"/>
                <w:sz w:val="20"/>
              </w:rPr>
              <w:t>8.3%</w:t>
            </w:r>
            <w:r>
              <w:rPr>
                <w:rFonts w:hint="eastAsia"/>
                <w:kern w:val="0"/>
                <w:sz w:val="20"/>
              </w:rPr>
              <w:t>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（5</w:t>
            </w:r>
            <w:r>
              <w:rPr>
                <w:kern w:val="0"/>
                <w:sz w:val="20"/>
              </w:rPr>
              <w:t>7.9%</w:t>
            </w:r>
            <w:r>
              <w:rPr>
                <w:rFonts w:hint="eastAsia"/>
                <w:kern w:val="0"/>
                <w:sz w:val="20"/>
              </w:rPr>
              <w:t>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（4</w:t>
            </w:r>
            <w:r>
              <w:rPr>
                <w:kern w:val="0"/>
                <w:sz w:val="20"/>
              </w:rPr>
              <w:t>2.1%</w:t>
            </w:r>
            <w:r>
              <w:rPr>
                <w:rFonts w:hint="eastAsia"/>
                <w:kern w:val="0"/>
                <w:sz w:val="20"/>
              </w:rPr>
              <w:t>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</w:t>
            </w:r>
            <w:r>
              <w:rPr>
                <w:kern w:val="0"/>
                <w:sz w:val="20"/>
              </w:rPr>
              <w:t>.008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highlight w:val="none"/>
              </w:rPr>
              <w:t>Ki-67 index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&lt;20%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≥20%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16 （11.1%）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128（88.9%）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27（21.4%）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99（78.6%）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0.021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P53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Positive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Negative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90 (62.5%)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54 (37.5%)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78 (61.9%)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48 (38.1%)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0.920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Clinical T stage  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T1 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T2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T3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T4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20（13.9%）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102（70.8%）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19（13.2%）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 （2.1%）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18（14.3%）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89（70.6%）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 xml:space="preserve"> （4.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60</w:t>
            </w:r>
            <w:r>
              <w:rPr>
                <w:rFonts w:hint="eastAsia"/>
                <w:kern w:val="0"/>
                <w:sz w:val="20"/>
              </w:rPr>
              <w:t>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Clinical N stage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N0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N1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N2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N3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54（37.5%）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48（33.3%）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（2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2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.9%）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0.3</w:t>
            </w:r>
            <w:r>
              <w:rPr>
                <w:kern w:val="0"/>
                <w:sz w:val="20"/>
              </w:rPr>
              <w:t>22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Clinical TNM stage 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IIa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IIb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IIIa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IIIb-c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（16.</w:t>
            </w:r>
            <w:r>
              <w:rPr>
                <w:kern w:val="0"/>
                <w:sz w:val="20"/>
              </w:rPr>
              <w:t>0%</w:t>
            </w:r>
            <w:r>
              <w:rPr>
                <w:rFonts w:hint="eastAsia"/>
                <w:kern w:val="0"/>
                <w:sz w:val="20"/>
              </w:rPr>
              <w:t>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  <w:r>
              <w:rPr>
                <w:kern w:val="0"/>
                <w:sz w:val="20"/>
              </w:rPr>
              <w:t>3</w:t>
            </w:r>
            <w:r>
              <w:rPr>
                <w:rFonts w:hint="eastAsia"/>
                <w:kern w:val="0"/>
                <w:sz w:val="20"/>
              </w:rPr>
              <w:t>（2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（1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（31.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  <w:p>
            <w:pPr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24</w:t>
            </w:r>
            <w:r>
              <w:rPr>
                <w:rFonts w:hint="eastAsia"/>
                <w:kern w:val="0"/>
                <w:sz w:val="20"/>
              </w:rPr>
              <w:t xml:space="preserve"> （1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696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Treatment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Anthracycline  group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Non-anthracycline   group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60（41.7%）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84（58.3%）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64（50.8%）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62（49.2%）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0.133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  <w:highlight w:val="none"/>
              </w:rPr>
            </w:pPr>
            <w:r>
              <w:rPr>
                <w:rFonts w:hint="eastAsia"/>
                <w:kern w:val="0"/>
                <w:sz w:val="20"/>
                <w:highlight w:val="none"/>
              </w:rPr>
              <w:t>Targeted therapy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H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H+P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92（63.9%）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52（36.1%）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95（75.4%）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31（24.6%）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0.041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Chemotherapy cycle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Within 6 cycles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Overy 6 cycles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81（56.3%）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63（43.7%）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67（53.2%）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59（46.8%）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0.612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pct"/>
          </w:tcPr>
          <w:p>
            <w:pPr>
              <w:rPr>
                <w:kern w:val="0"/>
                <w:sz w:val="20"/>
                <w:highlight w:val="none"/>
              </w:rPr>
            </w:pPr>
            <w:r>
              <w:rPr>
                <w:rFonts w:hint="eastAsia"/>
                <w:kern w:val="0"/>
                <w:sz w:val="20"/>
                <w:highlight w:val="none"/>
              </w:rPr>
              <w:t>HER2 status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IHC3+</w:t>
            </w:r>
          </w:p>
          <w:p>
            <w:pPr>
              <w:ind w:left="105" w:leftChars="5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IHC 2+/FISH+</w:t>
            </w:r>
          </w:p>
        </w:tc>
        <w:tc>
          <w:tcPr>
            <w:tcW w:w="1253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139（96.5%）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 （3.5%）</w:t>
            </w:r>
          </w:p>
        </w:tc>
        <w:tc>
          <w:tcPr>
            <w:tcW w:w="1258" w:type="pct"/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108（85.7%）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18（14.3%）</w:t>
            </w:r>
          </w:p>
        </w:tc>
        <w:tc>
          <w:tcPr>
            <w:tcW w:w="593" w:type="pct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0.001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ViY2JkMjU3NGYzZTEwMzZmMGFkZWViYmNkYWU3NDIifQ=="/>
    <w:docVar w:name="KY_MEDREF_DOCUID" w:val="{D67BD3FF-DE1A-40E7-AEBF-9FB965CDB6A1}"/>
    <w:docVar w:name="KY_MEDREF_VERSION" w:val="3"/>
  </w:docVars>
  <w:rsids>
    <w:rsidRoot w:val="00A341EC"/>
    <w:rsid w:val="00240F9C"/>
    <w:rsid w:val="00345ED4"/>
    <w:rsid w:val="005E3BDA"/>
    <w:rsid w:val="00622A09"/>
    <w:rsid w:val="006439E7"/>
    <w:rsid w:val="006E190D"/>
    <w:rsid w:val="00A10AC2"/>
    <w:rsid w:val="00A341EC"/>
    <w:rsid w:val="00B7262A"/>
    <w:rsid w:val="00C14C4D"/>
    <w:rsid w:val="1BDE7C59"/>
    <w:rsid w:val="2C2D0547"/>
    <w:rsid w:val="5DE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等线" w:hAnsi="等线" w:eastAsia="等线" w:cs="Times New Roman"/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99"/>
    <w:rPr>
      <w:rFonts w:ascii="等线" w:hAnsi="等线" w:eastAsia="等线" w:cs="Times New Roman"/>
      <w:kern w:val="2"/>
      <w:sz w:val="18"/>
      <w:szCs w:val="18"/>
      <w14:ligatures w14:val="standardContextual"/>
    </w:rPr>
  </w:style>
  <w:style w:type="paragraph" w:customStyle="1" w:styleId="9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1011</Characters>
  <Lines>8</Lines>
  <Paragraphs>2</Paragraphs>
  <TotalTime>0</TotalTime>
  <ScaleCrop>false</ScaleCrop>
  <LinksUpToDate>false</LinksUpToDate>
  <CharactersWithSpaces>1186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2023-10-28T02:18:00Z</dcterms:created>
  <dc:creator>鹏飞 何</dc:creator>
  <cp:lastModifiedBy>殇人or自殇。</cp:lastModifiedBy>
  <dcterms:modified xsi:type="dcterms:W3CDTF">2023-12-30T09:04:31Z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FFDD5AF9CCD24938981FC066B246CBB1_12</vt:lpwstr>
  </property>
</Properties>
</file>